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53" w:rsidRDefault="007A6A53"/>
    <w:p w:rsidR="00552B52" w:rsidRPr="00687FE5" w:rsidRDefault="00552B52" w:rsidP="00552B52">
      <w:pPr>
        <w:pStyle w:val="Heading1"/>
        <w:rPr>
          <w:sz w:val="36"/>
        </w:rPr>
      </w:pPr>
      <w:bookmarkStart w:id="0" w:name="_Toc283045664"/>
      <w:r w:rsidRPr="00687FE5">
        <w:rPr>
          <w:sz w:val="36"/>
        </w:rPr>
        <w:t>IMPORTANT DEFINITIONS</w:t>
      </w:r>
      <w:bookmarkEnd w:id="0"/>
    </w:p>
    <w:p w:rsidR="00552B52" w:rsidRPr="00687FE5" w:rsidRDefault="00552B52" w:rsidP="00552B52">
      <w:pPr>
        <w:rPr>
          <w:sz w:val="28"/>
        </w:rPr>
      </w:pPr>
      <w:r w:rsidRPr="00687FE5">
        <w:rPr>
          <w:sz w:val="28"/>
        </w:rPr>
        <w:t>It is good to establish some names and titles, to prevent confusion.</w:t>
      </w:r>
    </w:p>
    <w:p w:rsidR="00552B52" w:rsidRPr="00687FE5" w:rsidRDefault="00552B52" w:rsidP="00552B52">
      <w:pPr>
        <w:rPr>
          <w:sz w:val="28"/>
        </w:rPr>
      </w:pPr>
      <w:r>
        <w:rPr>
          <w:b/>
          <w:noProof/>
          <w:sz w:val="28"/>
        </w:rPr>
        <mc:AlternateContent>
          <mc:Choice Requires="wps">
            <w:drawing>
              <wp:anchor distT="0" distB="0" distL="114300" distR="114300" simplePos="0" relativeHeight="251660288" behindDoc="0" locked="0" layoutInCell="1" allowOverlap="1">
                <wp:simplePos x="0" y="0"/>
                <wp:positionH relativeFrom="column">
                  <wp:posOffset>3743325</wp:posOffset>
                </wp:positionH>
                <wp:positionV relativeFrom="paragraph">
                  <wp:posOffset>188595</wp:posOffset>
                </wp:positionV>
                <wp:extent cx="355600" cy="1083945"/>
                <wp:effectExtent l="9525" t="6350" r="53975"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083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F9D41" id="_x0000_t32" coordsize="21600,21600" o:spt="32" o:oned="t" path="m,l21600,21600e" filled="f">
                <v:path arrowok="t" fillok="f" o:connecttype="none"/>
                <o:lock v:ext="edit" shapetype="t"/>
              </v:shapetype>
              <v:shape id="Straight Arrow Connector 2" o:spid="_x0000_s1026" type="#_x0000_t32" style="position:absolute;margin-left:294.75pt;margin-top:14.85pt;width:28pt;height:8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">
                <v:stroke endarrow="block"/>
              </v:shape>
            </w:pict>
          </mc:Fallback>
        </mc:AlternateContent>
      </w:r>
      <w:r w:rsidRPr="00687FE5">
        <w:rPr>
          <w:b/>
          <w:sz w:val="28"/>
        </w:rPr>
        <w:t>Negotiation</w:t>
      </w:r>
      <w:r w:rsidRPr="00687FE5">
        <w:rPr>
          <w:sz w:val="28"/>
        </w:rPr>
        <w:t xml:space="preserve"> is the process of narrowing the Buy-Sell Range to zero, to the Deal Point, so the seller can sell and the buyer can buy.</w:t>
      </w:r>
    </w:p>
    <w:p w:rsidR="00552B52" w:rsidRPr="00687FE5" w:rsidRDefault="00552B52" w:rsidP="00552B52">
      <w:pPr>
        <w:ind w:left="720" w:firstLine="720"/>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981710</wp:posOffset>
                </wp:positionV>
                <wp:extent cx="930910" cy="1092200"/>
                <wp:effectExtent l="7620" t="45085" r="520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910" cy="1092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5D46A" id="Straight Arrow Connector 1" o:spid="_x0000_s1026" type="#_x0000_t32" style="position:absolute;margin-left:31.35pt;margin-top:77.3pt;width:73.3pt;height:8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">
                <v:stroke endarrow="block"/>
              </v:shape>
            </w:pict>
          </mc:Fallback>
        </mc:AlternateContent>
      </w:r>
      <w:r w:rsidRPr="00687FE5">
        <w:rPr>
          <w:b/>
          <w:noProof/>
          <w:sz w:val="28"/>
        </w:rPr>
        <w:drawing>
          <wp:inline distT="0" distB="0" distL="0" distR="0" wp14:anchorId="1D251EA2" wp14:editId="3414E1E7">
            <wp:extent cx="3623945" cy="193865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23945" cy="1938655"/>
                    </a:xfrm>
                    <a:prstGeom prst="rect">
                      <a:avLst/>
                    </a:prstGeom>
                    <a:noFill/>
                    <a:ln w="9525">
                      <a:noFill/>
                      <a:miter lim="800000"/>
                      <a:headEnd/>
                      <a:tailEnd/>
                    </a:ln>
                  </pic:spPr>
                </pic:pic>
              </a:graphicData>
            </a:graphic>
          </wp:inline>
        </w:drawing>
      </w:r>
    </w:p>
    <w:p w:rsidR="00552B52" w:rsidRPr="00687FE5" w:rsidRDefault="00552B52" w:rsidP="00552B52">
      <w:pPr>
        <w:rPr>
          <w:sz w:val="28"/>
        </w:rPr>
      </w:pPr>
      <w:r w:rsidRPr="00687FE5">
        <w:rPr>
          <w:b/>
          <w:sz w:val="28"/>
        </w:rPr>
        <w:t>The Buy-Sell Range</w:t>
      </w:r>
      <w:r w:rsidRPr="00687FE5">
        <w:rPr>
          <w:sz w:val="28"/>
        </w:rPr>
        <w:t xml:space="preserve"> is the spread between the buyer’s most attractive offer to the seller and the seller’s least attractive offer to the buyer. Often, it is a price range. It gets its own topic below. Please see the index.</w:t>
      </w:r>
    </w:p>
    <w:p w:rsidR="00552B52" w:rsidRPr="00687FE5" w:rsidRDefault="00552B52" w:rsidP="00552B52">
      <w:pPr>
        <w:rPr>
          <w:sz w:val="28"/>
        </w:rPr>
      </w:pPr>
      <w:r>
        <w:rPr>
          <w:sz w:val="28"/>
        </w:rPr>
        <w:t>At our company</w:t>
      </w:r>
      <w:r w:rsidRPr="00687FE5">
        <w:rPr>
          <w:sz w:val="28"/>
        </w:rPr>
        <w:t xml:space="preserve">, negotiation with the bank is done by a </w:t>
      </w:r>
      <w:r w:rsidRPr="00687FE5">
        <w:rPr>
          <w:b/>
          <w:sz w:val="28"/>
        </w:rPr>
        <w:t>Loss Mitigation Specialist</w:t>
      </w:r>
      <w:r w:rsidRPr="00687FE5">
        <w:rPr>
          <w:sz w:val="28"/>
        </w:rPr>
        <w:t xml:space="preserve"> simply called the </w:t>
      </w:r>
      <w:r w:rsidRPr="00687FE5">
        <w:rPr>
          <w:b/>
          <w:sz w:val="28"/>
        </w:rPr>
        <w:t xml:space="preserve">Loss </w:t>
      </w:r>
      <w:proofErr w:type="spellStart"/>
      <w:r w:rsidRPr="00687FE5">
        <w:rPr>
          <w:b/>
          <w:sz w:val="28"/>
        </w:rPr>
        <w:t>Mitigator</w:t>
      </w:r>
      <w:proofErr w:type="spellEnd"/>
      <w:r w:rsidRPr="00687FE5">
        <w:rPr>
          <w:b/>
          <w:sz w:val="28"/>
        </w:rPr>
        <w:t xml:space="preserve"> (LM)</w:t>
      </w:r>
      <w:r>
        <w:rPr>
          <w:sz w:val="28"/>
        </w:rPr>
        <w:t xml:space="preserve"> in-</w:t>
      </w:r>
      <w:r w:rsidRPr="00687FE5">
        <w:rPr>
          <w:sz w:val="28"/>
        </w:rPr>
        <w:t xml:space="preserve">house. The words in this title: </w:t>
      </w:r>
      <w:r>
        <w:rPr>
          <w:sz w:val="28"/>
        </w:rPr>
        <w:t>“</w:t>
      </w:r>
      <w:r w:rsidRPr="00687FE5">
        <w:rPr>
          <w:sz w:val="28"/>
        </w:rPr>
        <w:t>Loss Mitigation Specialist</w:t>
      </w:r>
      <w:r>
        <w:rPr>
          <w:sz w:val="28"/>
        </w:rPr>
        <w:t>”</w:t>
      </w:r>
      <w:r w:rsidRPr="00687FE5">
        <w:rPr>
          <w:sz w:val="28"/>
        </w:rPr>
        <w:t xml:space="preserve"> are designed to give the highly important LM a specific, advanced negotiating advantage, to be discussed later. I got that title from Cory </w:t>
      </w:r>
      <w:proofErr w:type="spellStart"/>
      <w:r w:rsidRPr="00687FE5">
        <w:rPr>
          <w:sz w:val="28"/>
        </w:rPr>
        <w:t>Boatright</w:t>
      </w:r>
      <w:proofErr w:type="spellEnd"/>
      <w:r w:rsidRPr="00687FE5">
        <w:rPr>
          <w:sz w:val="28"/>
        </w:rPr>
        <w:t>. Thanks, Cory.</w:t>
      </w:r>
    </w:p>
    <w:p w:rsidR="00552B52" w:rsidRPr="00687FE5" w:rsidRDefault="00552B52" w:rsidP="00552B52">
      <w:pPr>
        <w:rPr>
          <w:sz w:val="28"/>
        </w:rPr>
      </w:pPr>
      <w:r w:rsidRPr="00687FE5">
        <w:rPr>
          <w:sz w:val="28"/>
        </w:rPr>
        <w:t xml:space="preserve">The LM’s counterpart at a bank is usually called the </w:t>
      </w:r>
      <w:r>
        <w:rPr>
          <w:b/>
          <w:sz w:val="28"/>
        </w:rPr>
        <w:t>Negotiator</w:t>
      </w:r>
      <w:r w:rsidRPr="00687FE5">
        <w:rPr>
          <w:sz w:val="28"/>
        </w:rPr>
        <w:t xml:space="preserve">, or sometimes other names such as </w:t>
      </w:r>
      <w:r w:rsidRPr="00687FE5">
        <w:rPr>
          <w:b/>
          <w:sz w:val="28"/>
        </w:rPr>
        <w:t>Workout Specialist</w:t>
      </w:r>
      <w:r w:rsidRPr="00687FE5">
        <w:rPr>
          <w:sz w:val="28"/>
        </w:rPr>
        <w:t>.</w:t>
      </w:r>
    </w:p>
    <w:p w:rsidR="00552B52" w:rsidRDefault="00552B52" w:rsidP="00552B52">
      <w:pPr>
        <w:rPr>
          <w:sz w:val="28"/>
        </w:rPr>
      </w:pPr>
      <w:r w:rsidRPr="00687FE5">
        <w:rPr>
          <w:noProof/>
          <w:sz w:val="28"/>
        </w:rPr>
        <w:lastRenderedPageBreak/>
        <w:drawing>
          <wp:inline distT="0" distB="0" distL="0" distR="0" wp14:anchorId="202B2579" wp14:editId="32496288">
            <wp:extent cx="2292388" cy="14986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294414" cy="1499924"/>
                    </a:xfrm>
                    <a:prstGeom prst="rect">
                      <a:avLst/>
                    </a:prstGeom>
                    <a:noFill/>
                    <a:ln w="9525">
                      <a:noFill/>
                      <a:miter lim="800000"/>
                      <a:headEnd/>
                      <a:tailEnd/>
                    </a:ln>
                  </pic:spPr>
                </pic:pic>
              </a:graphicData>
            </a:graphic>
          </wp:inline>
        </w:drawing>
      </w:r>
      <w:r w:rsidRPr="00C76BF5">
        <w:rPr>
          <w:sz w:val="28"/>
        </w:rPr>
        <w:t>Our</w:t>
      </w:r>
      <w:r w:rsidRPr="00687FE5">
        <w:rPr>
          <w:b/>
          <w:sz w:val="28"/>
        </w:rPr>
        <w:t xml:space="preserve"> Property Review Panel (PRP)</w:t>
      </w:r>
      <w:r w:rsidRPr="00687FE5">
        <w:rPr>
          <w:sz w:val="28"/>
        </w:rPr>
        <w:t xml:space="preserve"> decides prices and other negotiation parameters. The members of this panel are not revealed to the bank, supporting an advanced negotiation tactic called</w:t>
      </w:r>
      <w:r>
        <w:rPr>
          <w:sz w:val="28"/>
        </w:rPr>
        <w:t>,</w:t>
      </w:r>
      <w:r w:rsidRPr="00687FE5">
        <w:rPr>
          <w:sz w:val="28"/>
        </w:rPr>
        <w:t xml:space="preserve"> “Appeal to Higher Authority.” </w:t>
      </w:r>
    </w:p>
    <w:p w:rsidR="00552B52" w:rsidRPr="00687FE5" w:rsidRDefault="00552B52" w:rsidP="00552B52">
      <w:pPr>
        <w:rPr>
          <w:sz w:val="28"/>
        </w:rPr>
      </w:pPr>
      <w:r>
        <w:rPr>
          <w:sz w:val="28"/>
        </w:rPr>
        <w:t>Companies should give their Negotiators the advantage of a higher authority. It’s not ethical to ask Negotiators to lie and invent such a higher authority, so give them a real one, even if they sit on the panel.</w:t>
      </w:r>
    </w:p>
    <w:p w:rsidR="00552B52" w:rsidRPr="00687FE5" w:rsidRDefault="00552B52" w:rsidP="00552B52">
      <w:pPr>
        <w:rPr>
          <w:sz w:val="28"/>
        </w:rPr>
      </w:pPr>
      <w:r w:rsidRPr="00687FE5">
        <w:rPr>
          <w:sz w:val="28"/>
        </w:rPr>
        <w:t xml:space="preserve">Banks usually employ the same tactic. They say that they have to get </w:t>
      </w:r>
      <w:r>
        <w:rPr>
          <w:sz w:val="28"/>
        </w:rPr>
        <w:t>I</w:t>
      </w:r>
      <w:r w:rsidRPr="00687FE5">
        <w:rPr>
          <w:sz w:val="28"/>
        </w:rPr>
        <w:t xml:space="preserve">nvestor approval, and often that is true. The </w:t>
      </w:r>
      <w:r>
        <w:rPr>
          <w:sz w:val="28"/>
        </w:rPr>
        <w:t>I</w:t>
      </w:r>
      <w:r w:rsidRPr="00687FE5">
        <w:rPr>
          <w:sz w:val="28"/>
        </w:rPr>
        <w:t xml:space="preserve">nvestor is usually someone within the bank, a representative of another company that bought the loan. (There is an ongoing controversy regarding that practice, and the courts are testing it to this date.) Anyhow, a bank </w:t>
      </w:r>
      <w:r>
        <w:rPr>
          <w:sz w:val="28"/>
        </w:rPr>
        <w:t>Negotiator</w:t>
      </w:r>
      <w:r w:rsidRPr="00687FE5">
        <w:rPr>
          <w:sz w:val="28"/>
        </w:rPr>
        <w:t xml:space="preserve"> will often agree in principle, but reserve the investor’s right to veto their position. That puts you at a disadvantage because you agreed and they didn’t. Then, they expect you to raise your price and they still don’t agree, repeating until you stall at your highest price. They never have to concede a thing. </w:t>
      </w:r>
    </w:p>
    <w:p w:rsidR="00552B52" w:rsidRPr="00687FE5" w:rsidRDefault="00552B52" w:rsidP="00552B52">
      <w:pPr>
        <w:rPr>
          <w:sz w:val="28"/>
        </w:rPr>
      </w:pPr>
      <w:r w:rsidRPr="00687FE5">
        <w:rPr>
          <w:sz w:val="28"/>
        </w:rPr>
        <w:t>Trying to give the tactic even more power, they won’t reveal who the investor is, lest</w:t>
      </w:r>
      <w:r>
        <w:rPr>
          <w:sz w:val="28"/>
        </w:rPr>
        <w:t xml:space="preserve"> we appeal</w:t>
      </w:r>
      <w:r w:rsidRPr="00687FE5">
        <w:rPr>
          <w:sz w:val="28"/>
        </w:rPr>
        <w:t xml:space="preserve"> directly to that investor. It works with most </w:t>
      </w:r>
      <w:r>
        <w:rPr>
          <w:sz w:val="28"/>
        </w:rPr>
        <w:t>companies,</w:t>
      </w:r>
      <w:r w:rsidRPr="00687FE5">
        <w:rPr>
          <w:sz w:val="28"/>
        </w:rPr>
        <w:t xml:space="preserve"> but not with us.</w:t>
      </w:r>
    </w:p>
    <w:p w:rsidR="00552B52" w:rsidRPr="00687FE5" w:rsidRDefault="00552B52" w:rsidP="00552B52">
      <w:pPr>
        <w:rPr>
          <w:sz w:val="28"/>
        </w:rPr>
      </w:pPr>
      <w:r>
        <w:rPr>
          <w:sz w:val="28"/>
        </w:rPr>
        <w:t>Our company</w:t>
      </w:r>
      <w:r w:rsidRPr="00687FE5">
        <w:rPr>
          <w:sz w:val="28"/>
        </w:rPr>
        <w:t xml:space="preserve"> turns the tables in four ways:</w:t>
      </w:r>
    </w:p>
    <w:p w:rsidR="00552B52" w:rsidRPr="00687FE5" w:rsidRDefault="00552B52" w:rsidP="00552B52">
      <w:pPr>
        <w:pStyle w:val="ListParagraph"/>
        <w:numPr>
          <w:ilvl w:val="0"/>
          <w:numId w:val="1"/>
        </w:numPr>
        <w:rPr>
          <w:sz w:val="28"/>
        </w:rPr>
      </w:pPr>
      <w:r w:rsidRPr="00687FE5">
        <w:rPr>
          <w:sz w:val="28"/>
        </w:rPr>
        <w:t>By asking the seller to get the bank to reveal who the investor is. Legally, the bank must honor the seller’s request for this information, and the Seller tells us.</w:t>
      </w:r>
    </w:p>
    <w:p w:rsidR="00552B52" w:rsidRPr="00687FE5" w:rsidRDefault="00552B52" w:rsidP="00552B52">
      <w:pPr>
        <w:pStyle w:val="ListParagraph"/>
        <w:numPr>
          <w:ilvl w:val="0"/>
          <w:numId w:val="1"/>
        </w:numPr>
        <w:rPr>
          <w:sz w:val="28"/>
        </w:rPr>
      </w:pPr>
      <w:r w:rsidRPr="00687FE5">
        <w:rPr>
          <w:sz w:val="28"/>
        </w:rPr>
        <w:t>By asking the seller to get the bank to reveal who the Mortgage Insurer is. The bank must reveal this to the seller as well,</w:t>
      </w:r>
    </w:p>
    <w:p w:rsidR="00552B52" w:rsidRPr="00687FE5" w:rsidRDefault="00552B52" w:rsidP="00552B52">
      <w:pPr>
        <w:pStyle w:val="ListParagraph"/>
        <w:numPr>
          <w:ilvl w:val="0"/>
          <w:numId w:val="1"/>
        </w:numPr>
        <w:rPr>
          <w:sz w:val="28"/>
        </w:rPr>
      </w:pPr>
      <w:r w:rsidRPr="00687FE5">
        <w:rPr>
          <w:sz w:val="28"/>
        </w:rPr>
        <w:lastRenderedPageBreak/>
        <w:t>B</w:t>
      </w:r>
      <w:r>
        <w:rPr>
          <w:sz w:val="28"/>
        </w:rPr>
        <w:t>y establishing our</w:t>
      </w:r>
      <w:r w:rsidRPr="00687FE5">
        <w:rPr>
          <w:sz w:val="28"/>
        </w:rPr>
        <w:t xml:space="preserve"> Property Review Panel, a “higher authority” that must approve all purchases, and</w:t>
      </w:r>
    </w:p>
    <w:p w:rsidR="00552B52" w:rsidRPr="00687FE5" w:rsidRDefault="00552B52" w:rsidP="00552B52">
      <w:pPr>
        <w:pStyle w:val="ListParagraph"/>
        <w:numPr>
          <w:ilvl w:val="0"/>
          <w:numId w:val="1"/>
        </w:numPr>
        <w:rPr>
          <w:sz w:val="28"/>
        </w:rPr>
      </w:pPr>
      <w:r w:rsidRPr="00687FE5">
        <w:rPr>
          <w:sz w:val="28"/>
        </w:rPr>
        <w:t xml:space="preserve">By not revealing names of the panel’s members. Typically they are </w:t>
      </w:r>
      <w:r>
        <w:rPr>
          <w:sz w:val="28"/>
        </w:rPr>
        <w:t>the Directors,</w:t>
      </w:r>
      <w:r w:rsidRPr="00687FE5">
        <w:rPr>
          <w:sz w:val="28"/>
        </w:rPr>
        <w:t xml:space="preserve"> a Regional Manager and a Loss </w:t>
      </w:r>
      <w:proofErr w:type="spellStart"/>
      <w:r w:rsidRPr="00687FE5">
        <w:rPr>
          <w:sz w:val="28"/>
        </w:rPr>
        <w:t>Mitigator</w:t>
      </w:r>
      <w:proofErr w:type="spellEnd"/>
      <w:r w:rsidRPr="00687FE5">
        <w:rPr>
          <w:sz w:val="28"/>
        </w:rPr>
        <w:t xml:space="preserve">. Notice that the Loss </w:t>
      </w:r>
      <w:proofErr w:type="spellStart"/>
      <w:r w:rsidRPr="00687FE5">
        <w:rPr>
          <w:sz w:val="28"/>
        </w:rPr>
        <w:t>Mitigator</w:t>
      </w:r>
      <w:proofErr w:type="spellEnd"/>
      <w:r w:rsidRPr="00687FE5">
        <w:rPr>
          <w:sz w:val="28"/>
        </w:rPr>
        <w:t xml:space="preserve"> may be sitting on the panel and does not have to reveal that fact to the bank.</w:t>
      </w:r>
    </w:p>
    <w:p w:rsidR="00552B52" w:rsidRDefault="00552B52">
      <w:bookmarkStart w:id="1" w:name="_GoBack"/>
      <w:bookmarkEnd w:id="1"/>
    </w:p>
    <w:sectPr w:rsidR="0055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059FD"/>
    <w:multiLevelType w:val="hybridMultilevel"/>
    <w:tmpl w:val="FC6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52"/>
    <w:rsid w:val="000A3B8A"/>
    <w:rsid w:val="000C59A8"/>
    <w:rsid w:val="001C45B2"/>
    <w:rsid w:val="001C7B35"/>
    <w:rsid w:val="00297544"/>
    <w:rsid w:val="002B2304"/>
    <w:rsid w:val="00513C47"/>
    <w:rsid w:val="00552B52"/>
    <w:rsid w:val="00707C10"/>
    <w:rsid w:val="007A6A53"/>
    <w:rsid w:val="007F0E48"/>
    <w:rsid w:val="00824E07"/>
    <w:rsid w:val="008B1CFD"/>
    <w:rsid w:val="008C0EAD"/>
    <w:rsid w:val="009E4A92"/>
    <w:rsid w:val="00A45D3A"/>
    <w:rsid w:val="00B552AA"/>
    <w:rsid w:val="00B835C4"/>
    <w:rsid w:val="00DB652B"/>
    <w:rsid w:val="00F1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2C83C-5CEE-4851-AA44-98352834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52"/>
    <w:pPr>
      <w:spacing w:after="200" w:line="276" w:lineRule="auto"/>
    </w:pPr>
  </w:style>
  <w:style w:type="paragraph" w:styleId="Heading1">
    <w:name w:val="heading 1"/>
    <w:basedOn w:val="Normal"/>
    <w:next w:val="Normal"/>
    <w:link w:val="Heading1Char"/>
    <w:uiPriority w:val="9"/>
    <w:qFormat/>
    <w:rsid w:val="00552B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5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5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Richerd Williams</dc:creator>
  <cp:keywords/>
  <dc:description/>
  <cp:lastModifiedBy>Richerd Williams</cp:lastModifiedBy>
  <cp:revision>2</cp:revision>
  <dcterms:created xsi:type="dcterms:W3CDTF">2013-05-07T01:37:00Z</dcterms:created>
  <dcterms:modified xsi:type="dcterms:W3CDTF">2013-05-07T01:37:00Z</dcterms:modified>
</cp:coreProperties>
</file>